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BC" w:rsidRDefault="004605BC" w:rsidP="00BB1A7D">
      <w:pPr>
        <w:jc w:val="center"/>
        <w:rPr>
          <w:rFonts w:asciiTheme="minorHAnsi" w:hAnsiTheme="minorHAnsi" w:cstheme="minorHAnsi"/>
          <w:b/>
        </w:rPr>
      </w:pPr>
    </w:p>
    <w:p w:rsidR="00DA01A5" w:rsidRPr="00BB1A7D" w:rsidRDefault="00BB1A7D" w:rsidP="00BB1A7D">
      <w:pPr>
        <w:jc w:val="center"/>
        <w:rPr>
          <w:rFonts w:asciiTheme="minorHAnsi" w:hAnsiTheme="minorHAnsi" w:cstheme="minorHAnsi"/>
          <w:b/>
        </w:rPr>
      </w:pPr>
      <w:r w:rsidRPr="00BB1A7D">
        <w:rPr>
          <w:rFonts w:asciiTheme="minorHAnsi" w:hAnsiTheme="minorHAnsi" w:cstheme="minorHAnsi"/>
          <w:b/>
        </w:rPr>
        <w:t>STOPIEŃ CIĘŻKOŚCI PRACY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BB1A7D" w:rsidRDefault="00BB1A7D"/>
    <w:p w:rsidR="00A07B86" w:rsidRPr="004605BC" w:rsidRDefault="00A07B86" w:rsidP="00A07B86">
      <w:pPr>
        <w:shd w:val="clear" w:color="auto" w:fill="C5E0B3" w:themeFill="accent6" w:themeFillTint="66"/>
        <w:autoSpaceDE w:val="0"/>
        <w:autoSpaceDN w:val="0"/>
        <w:adjustRightInd w:val="0"/>
        <w:jc w:val="both"/>
        <w:rPr>
          <w:rFonts w:asciiTheme="minorHAnsi" w:eastAsia="Latin725PL-RomanA" w:hAnsiTheme="minorHAnsi" w:cstheme="minorHAnsi"/>
          <w:b/>
          <w:sz w:val="22"/>
          <w:szCs w:val="22"/>
          <w:u w:val="single"/>
          <w:lang w:eastAsia="en-US"/>
        </w:rPr>
      </w:pPr>
      <w:r w:rsidRPr="004605BC">
        <w:rPr>
          <w:rFonts w:asciiTheme="minorHAnsi" w:eastAsia="Latin725PL-RomanA" w:hAnsiTheme="minorHAnsi" w:cstheme="minorHAnsi"/>
          <w:b/>
          <w:sz w:val="22"/>
          <w:szCs w:val="22"/>
          <w:u w:val="single"/>
          <w:lang w:eastAsia="en-US"/>
        </w:rPr>
        <w:t xml:space="preserve">WAŻNE: </w:t>
      </w:r>
    </w:p>
    <w:p w:rsidR="00BB1A7D" w:rsidRPr="004605BC" w:rsidRDefault="00BB1A7D" w:rsidP="00A07B86">
      <w:pPr>
        <w:shd w:val="clear" w:color="auto" w:fill="C5E0B3" w:themeFill="accent6" w:themeFillTint="66"/>
        <w:autoSpaceDE w:val="0"/>
        <w:autoSpaceDN w:val="0"/>
        <w:adjustRightInd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Niniejsza kwerenda jest materiałem pomocniczym do wykorzystania przy opisywaniu pkt. </w:t>
      </w:r>
      <w:r w:rsidRPr="00221B74">
        <w:rPr>
          <w:rFonts w:asciiTheme="minorHAnsi" w:eastAsia="Latin725PL-RomanA" w:hAnsiTheme="minorHAnsi" w:cstheme="minorHAnsi"/>
          <w:b/>
          <w:sz w:val="22"/>
          <w:szCs w:val="22"/>
          <w:lang w:eastAsia="en-US"/>
        </w:rPr>
        <w:t>2.4 Wymagania psychofizyczne i zdrowotne</w:t>
      </w: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w sekcji </w:t>
      </w:r>
      <w:r w:rsidRPr="004605BC">
        <w:rPr>
          <w:rFonts w:asciiTheme="minorHAnsi" w:eastAsia="Latin725PL-RomanA" w:hAnsiTheme="minorHAnsi" w:cstheme="minorHAnsi"/>
          <w:b/>
          <w:i/>
          <w:sz w:val="22"/>
          <w:szCs w:val="22"/>
          <w:lang w:eastAsia="en-US"/>
        </w:rPr>
        <w:t>Wymagania zdrowotne</w:t>
      </w: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.</w:t>
      </w:r>
    </w:p>
    <w:p w:rsidR="00BB1A7D" w:rsidRPr="004605BC" w:rsidRDefault="00BB1A7D" w:rsidP="00BB1A7D">
      <w:pPr>
        <w:autoSpaceDE w:val="0"/>
        <w:autoSpaceDN w:val="0"/>
        <w:adjustRightInd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</w:p>
    <w:p w:rsidR="00BB1A7D" w:rsidRPr="004605BC" w:rsidRDefault="00BB1A7D" w:rsidP="00BB1A7D">
      <w:pPr>
        <w:autoSpaceDE w:val="0"/>
        <w:autoSpaceDN w:val="0"/>
        <w:adjustRightInd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Biorąc pod uwagę </w:t>
      </w:r>
      <w:r w:rsidRPr="00774A47">
        <w:rPr>
          <w:rFonts w:asciiTheme="minorHAnsi" w:eastAsia="Latin725PL-BoldA" w:hAnsiTheme="minorHAnsi" w:cstheme="minorHAnsi"/>
          <w:bCs/>
          <w:sz w:val="22"/>
          <w:szCs w:val="22"/>
          <w:lang w:eastAsia="en-US"/>
        </w:rPr>
        <w:t>tylko</w:t>
      </w:r>
      <w:r w:rsidRPr="004605BC">
        <w:rPr>
          <w:rFonts w:asciiTheme="minorHAnsi" w:eastAsia="Latin725PL-BoldA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wydatkowaną przez pracownika w czasie pracy energię, bez uwzględniania innych elementów, wyróżni</w:t>
      </w:r>
      <w:r w:rsidR="006913E8">
        <w:rPr>
          <w:rFonts w:asciiTheme="minorHAnsi" w:eastAsia="Latin725PL-RomanA" w:hAnsiTheme="minorHAnsi" w:cstheme="minorHAnsi"/>
          <w:sz w:val="22"/>
          <w:szCs w:val="22"/>
          <w:lang w:eastAsia="en-US"/>
        </w:rPr>
        <w:t>a się</w:t>
      </w:r>
      <w:r w:rsid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5 kategorii prac</w:t>
      </w: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:</w:t>
      </w:r>
    </w:p>
    <w:p w:rsidR="00D9758B" w:rsidRDefault="00BB1A7D" w:rsidP="00D97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95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D9758B">
        <w:rPr>
          <w:rFonts w:asciiTheme="minorHAnsi" w:eastAsia="Latin725PL-BoldItalicA" w:hAnsiTheme="minorHAnsi" w:cstheme="minorHAnsi"/>
          <w:b/>
          <w:bCs/>
          <w:i/>
          <w:iCs/>
          <w:sz w:val="22"/>
          <w:szCs w:val="22"/>
          <w:lang w:eastAsia="en-US"/>
        </w:rPr>
        <w:t xml:space="preserve">Prace lekkie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– w szczególności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np.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: administrator, agent ochrony mienia i </w:t>
      </w:r>
      <w:r w:rsidR="00221B74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osób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, agent ubezpieczeniowy, bibliotekarz, detektyw, doradca zawodowy, farmaceuta, fryzjer, fotograf, hostessa, hotelarz (organizator usług hotelarskich), instruktor nauki jazdy, kierowca, księgowy, konserwator dzieł sztuki, kompozytor, kosmetyczka, 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maszynistka, magazynier (sprzedawca-magazynier), notariusz, opiekunka dziecięca, optyk okularowy, parkingowy, pilot wycieczek, portier, pracownik pomocy społecznej, pracownik socjalny, prokurator, psycholog, radca prawny, realizator dźwięku, sekretarka, 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prawnik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, sprzedawca w handlu hurtowym</w:t>
      </w:r>
      <w:r w:rsidR="007C122F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(hurtownik), sprzedawca na stacji paliw, szwaczka, ślusarz, technik analityki medycznej, technik BHP, technik ekonomista, technik elektronik, technik poligraf (drukarz, poligraf), technik włókiennik, telefonistka, zaopatrzeniowiec, zegarmistrz i inne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.</w:t>
      </w:r>
    </w:p>
    <w:p w:rsidR="00D9758B" w:rsidRDefault="00BB1A7D" w:rsidP="00D97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95"/>
        <w:contextualSpacing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D9758B">
        <w:rPr>
          <w:rFonts w:asciiTheme="minorHAnsi" w:eastAsia="Latin725PL-BoldItalicA" w:hAnsiTheme="minorHAnsi" w:cstheme="minorHAnsi"/>
          <w:b/>
          <w:bCs/>
          <w:i/>
          <w:iCs/>
          <w:sz w:val="22"/>
          <w:szCs w:val="22"/>
          <w:lang w:eastAsia="en-US"/>
        </w:rPr>
        <w:t xml:space="preserve">Prace lekkie/średnio ciężkie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– w szczególności: geolog, introligator, inżynier hutnik, lekarz,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nauczyciel,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sędzia sportowy, strażnik miejski, trener, wartownik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,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sprzątaczka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i inne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.</w:t>
      </w:r>
    </w:p>
    <w:p w:rsidR="00D9758B" w:rsidRDefault="00BB1A7D" w:rsidP="00D97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95"/>
        <w:contextualSpacing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D9758B">
        <w:rPr>
          <w:rFonts w:asciiTheme="minorHAnsi" w:eastAsia="Latin725PL-BoldItalicA" w:hAnsiTheme="minorHAnsi" w:cstheme="minorHAnsi"/>
          <w:b/>
          <w:bCs/>
          <w:i/>
          <w:iCs/>
          <w:sz w:val="22"/>
          <w:szCs w:val="22"/>
          <w:lang w:eastAsia="en-US"/>
        </w:rPr>
        <w:t xml:space="preserve">Prace średnio ciężkie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– w szczególności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np.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: akwizytor, artysta malarz, artysta rzeźbiarz, barman (bufetowa), cukiernik-ciastkarz, frezer, gospodarz domu, elektromonter (elektryk), maglarz, masarz, mechanik </w:t>
      </w:r>
      <w:r w:rsidR="00770D24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pojazdów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samochodowych, młynarz, obuwnik, operator koparki, pomoc domowa, policjant, prasowacz, pielęgniarka, szewc, szlifierz, stolarz budowlany, ślusarz konstrukcji stalowych, ślusarz narzędziowy, tapicer, technik rolnik (ogrodnik, leśnik), tokarz, wikliniarz, zamiatacz i inne.</w:t>
      </w:r>
    </w:p>
    <w:p w:rsidR="00D9758B" w:rsidRDefault="00BB1A7D" w:rsidP="00D97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95"/>
        <w:contextualSpacing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D9758B">
        <w:rPr>
          <w:rFonts w:asciiTheme="minorHAnsi" w:eastAsia="Latin725PL-BoldItalicA" w:hAnsiTheme="minorHAnsi" w:cstheme="minorHAnsi"/>
          <w:b/>
          <w:bCs/>
          <w:i/>
          <w:iCs/>
          <w:sz w:val="22"/>
          <w:szCs w:val="22"/>
          <w:lang w:eastAsia="en-US"/>
        </w:rPr>
        <w:t xml:space="preserve">Prace ciężkie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– w szczególności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np.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: betoniarz, 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zbrojarz,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brukarz, choreograf, 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aktor,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doręczyciel pocztowy (listonosz), dżokej, glazurnik, hutnik-dmuchacz szkła, inżynier pożarnictwa, kamieniarz, kowal, masażysta, marynarz, monter konstrukcji metalowych, murarz, posadzkarz, ratownik górski, specjalista rehabilitacji ruchowej, 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masażysta,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tancerz, ubojowy i inne.</w:t>
      </w:r>
    </w:p>
    <w:p w:rsidR="00BB1A7D" w:rsidRPr="00D9758B" w:rsidRDefault="00BB1A7D" w:rsidP="00D9758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95"/>
        <w:contextualSpacing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D9758B">
        <w:rPr>
          <w:rFonts w:asciiTheme="minorHAnsi" w:eastAsia="Latin725PL-BoldItalicA" w:hAnsiTheme="minorHAnsi" w:cstheme="minorHAnsi"/>
          <w:b/>
          <w:bCs/>
          <w:i/>
          <w:iCs/>
          <w:sz w:val="22"/>
          <w:szCs w:val="22"/>
          <w:lang w:eastAsia="en-US"/>
        </w:rPr>
        <w:t xml:space="preserve">Prace bardzo ciężkie 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– w szczególności</w:t>
      </w:r>
      <w:r w:rsidR="008518E0"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np.</w:t>
      </w:r>
      <w:r w:rsidRPr="00D9758B">
        <w:rPr>
          <w:rFonts w:asciiTheme="minorHAnsi" w:eastAsia="Latin725PL-RomanA" w:hAnsiTheme="minorHAnsi" w:cstheme="minorHAnsi"/>
          <w:sz w:val="22"/>
          <w:szCs w:val="22"/>
          <w:lang w:eastAsia="en-US"/>
        </w:rPr>
        <w:t>: doker, drwal, górnik, nurek, przędzarz, przetwórca ryb (rybak-przetwórca), strażak i inne.</w:t>
      </w:r>
    </w:p>
    <w:p w:rsidR="00BB1A7D" w:rsidRPr="004605BC" w:rsidRDefault="00BB1A7D" w:rsidP="00BB1A7D">
      <w:pPr>
        <w:autoSpaceDE w:val="0"/>
        <w:autoSpaceDN w:val="0"/>
        <w:adjustRightInd w:val="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</w:p>
    <w:p w:rsidR="00BB1A7D" w:rsidRPr="004605BC" w:rsidRDefault="00BB1A7D" w:rsidP="00BB1A7D">
      <w:pPr>
        <w:autoSpaceDE w:val="0"/>
        <w:autoSpaceDN w:val="0"/>
        <w:adjustRightInd w:val="0"/>
        <w:jc w:val="both"/>
        <w:rPr>
          <w:rFonts w:asciiTheme="minorHAnsi" w:eastAsia="Latin725PL-RomanA" w:hAnsiTheme="minorHAnsi" w:cstheme="minorHAnsi"/>
          <w:b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b/>
          <w:sz w:val="22"/>
          <w:szCs w:val="22"/>
          <w:lang w:eastAsia="en-US"/>
        </w:rPr>
        <w:t xml:space="preserve">Bardzo istotne dla „ciężkości” pracy (poza wydatkiem energetycznym) jest obciążenie umysłowe. </w:t>
      </w:r>
    </w:p>
    <w:p w:rsidR="00BB1A7D" w:rsidRPr="004605BC" w:rsidRDefault="00BB1A7D" w:rsidP="00A07B86">
      <w:pPr>
        <w:autoSpaceDE w:val="0"/>
        <w:autoSpaceDN w:val="0"/>
        <w:adjustRightInd w:val="0"/>
        <w:spacing w:before="12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Jest wiele zawodów, w których pierwszoplanowe jest posługiwanie się operacjami umysłowymi, takimi jak</w:t>
      </w:r>
      <w:r w:rsidR="00535532"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np.</w:t>
      </w: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: rozwiązywanie problemów, </w:t>
      </w:r>
      <w:r w:rsidR="00535532"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analizowanie, </w:t>
      </w: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wnioskowanie, </w:t>
      </w:r>
      <w:r w:rsidR="008518E0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wyjaśnianie, </w:t>
      </w:r>
      <w:r w:rsidR="00535532"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rozumowanie logiczne, wyobraźnia i myślenie twórcze, motywowanie, negocjowanie</w:t>
      </w:r>
      <w:r w:rsidR="00A07B86"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</w:t>
      </w:r>
      <w:r w:rsidR="00535532"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i inne.</w:t>
      </w:r>
    </w:p>
    <w:p w:rsidR="00A07B86" w:rsidRPr="004605BC" w:rsidRDefault="00BB1A7D" w:rsidP="00A07B86">
      <w:pPr>
        <w:autoSpaceDE w:val="0"/>
        <w:autoSpaceDN w:val="0"/>
        <w:adjustRightInd w:val="0"/>
        <w:spacing w:before="12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Są również zawody i stanowiska pracy, w przypadku których praca wiąże się z narażeniem życia i (lub) zdrowia osoby wykonującej ją lub z zagrożeniem dla innych ludzi. </w:t>
      </w:r>
    </w:p>
    <w:p w:rsidR="00A07B86" w:rsidRPr="004605BC" w:rsidRDefault="00BB1A7D" w:rsidP="00A07B86">
      <w:pPr>
        <w:autoSpaceDE w:val="0"/>
        <w:autoSpaceDN w:val="0"/>
        <w:adjustRightInd w:val="0"/>
        <w:spacing w:before="120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Zagrożenia mogą wynikać</w:t>
      </w:r>
      <w:r w:rsidR="00A07B86"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:</w:t>
      </w:r>
    </w:p>
    <w:p w:rsidR="00A07B86" w:rsidRPr="004605BC" w:rsidRDefault="00BB1A7D" w:rsidP="0053553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z charakteru wykonywanych czynności (np. policjant, instruktor lotnictwa, dekarz), z występowania w środowisku pracy zagrożeń fizycznych (np. materiały wybuchowe – saper, żywioły – strażak, prąd elektryczny – monter pogotowia energetycznego), </w:t>
      </w:r>
    </w:p>
    <w:p w:rsidR="00BB1A7D" w:rsidRPr="004605BC" w:rsidRDefault="00BB1A7D" w:rsidP="005355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eastAsia="Latin725PL-RomanA" w:hAnsiTheme="minorHAnsi" w:cstheme="minorHAnsi"/>
          <w:sz w:val="22"/>
          <w:szCs w:val="22"/>
          <w:lang w:eastAsia="en-US"/>
        </w:rPr>
      </w:pP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>z wysokiego poziomu obciążenia psychicznego (np. strażnik więzienny, dyżurny ruchu kolejowego, nurek), czy też obsługi urządzeń wymagających szczególnych predyspozycji psychofizycznych (pilot, maszynista, operator koparki). Wykonywanie tych zawodów wiąże się z koniecznością prawidłowej koncentracji uwagi, podzielnością uwagi, zdolnością kojarzenia, zapamiętywania, zdolnością nawiązywania kontaktów z ludźmi, zdolnością podejmowania</w:t>
      </w:r>
      <w:r w:rsidR="00535532"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 </w:t>
      </w:r>
      <w:r w:rsidRPr="004605BC">
        <w:rPr>
          <w:rFonts w:asciiTheme="minorHAnsi" w:eastAsia="Latin725PL-RomanA" w:hAnsiTheme="minorHAnsi" w:cstheme="minorHAnsi"/>
          <w:sz w:val="22"/>
          <w:szCs w:val="22"/>
          <w:lang w:eastAsia="en-US"/>
        </w:rPr>
        <w:t xml:space="preserve">szybkich i trafnych decyzji, itd. </w:t>
      </w:r>
    </w:p>
    <w:p w:rsidR="00BB1A7D" w:rsidRPr="001A611B" w:rsidRDefault="00BB1A7D" w:rsidP="00BB1A7D">
      <w:pPr>
        <w:autoSpaceDE w:val="0"/>
        <w:autoSpaceDN w:val="0"/>
        <w:adjustRightInd w:val="0"/>
        <w:jc w:val="both"/>
        <w:rPr>
          <w:rFonts w:asciiTheme="minorHAnsi" w:eastAsia="Latin725PL-RomanA" w:hAnsiTheme="minorHAnsi" w:cstheme="minorHAnsi"/>
          <w:sz w:val="20"/>
          <w:szCs w:val="20"/>
          <w:lang w:eastAsia="en-US"/>
        </w:rPr>
      </w:pPr>
    </w:p>
    <w:p w:rsidR="00BB1A7D" w:rsidRDefault="00BB1A7D" w:rsidP="00BB1A7D">
      <w:pPr>
        <w:pStyle w:val="Nagwek"/>
        <w:rPr>
          <w:rFonts w:asciiTheme="minorHAnsi" w:hAnsiTheme="minorHAnsi" w:cstheme="minorHAnsi"/>
          <w:i/>
          <w:sz w:val="20"/>
          <w:szCs w:val="20"/>
        </w:rPr>
      </w:pPr>
    </w:p>
    <w:p w:rsidR="00535532" w:rsidRDefault="00535532" w:rsidP="00BB1A7D">
      <w:pPr>
        <w:pStyle w:val="Nagwek"/>
        <w:rPr>
          <w:rFonts w:asciiTheme="minorHAnsi" w:hAnsiTheme="minorHAnsi" w:cstheme="minorHAnsi"/>
          <w:i/>
          <w:sz w:val="20"/>
          <w:szCs w:val="20"/>
        </w:rPr>
      </w:pPr>
    </w:p>
    <w:p w:rsidR="00535532" w:rsidRDefault="00535532" w:rsidP="00BB1A7D">
      <w:pPr>
        <w:pStyle w:val="Nagwek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4605BC" w:rsidRDefault="004605BC" w:rsidP="00BB1A7D">
      <w:pPr>
        <w:pStyle w:val="Nagwek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535532" w:rsidRPr="00A12EC4" w:rsidRDefault="00535532" w:rsidP="00BB1A7D">
      <w:pPr>
        <w:pStyle w:val="Nagwek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12EC4">
        <w:rPr>
          <w:rFonts w:asciiTheme="minorHAnsi" w:hAnsiTheme="minorHAnsi" w:cstheme="minorHAnsi"/>
          <w:i/>
          <w:sz w:val="22"/>
          <w:szCs w:val="22"/>
          <w:u w:val="single"/>
        </w:rPr>
        <w:t>Przykład</w:t>
      </w:r>
      <w:r w:rsidR="007C122F" w:rsidRPr="00A12EC4">
        <w:rPr>
          <w:rFonts w:asciiTheme="minorHAnsi" w:hAnsiTheme="minorHAnsi" w:cstheme="minorHAnsi"/>
          <w:i/>
          <w:sz w:val="22"/>
          <w:szCs w:val="22"/>
          <w:u w:val="single"/>
        </w:rPr>
        <w:t xml:space="preserve">y </w:t>
      </w:r>
      <w:r w:rsidRPr="00A12EC4">
        <w:rPr>
          <w:rFonts w:asciiTheme="minorHAnsi" w:hAnsiTheme="minorHAnsi" w:cstheme="minorHAnsi"/>
          <w:i/>
          <w:sz w:val="22"/>
          <w:szCs w:val="22"/>
          <w:u w:val="single"/>
        </w:rPr>
        <w:t>wykorzystania</w:t>
      </w:r>
      <w:r w:rsidR="00D9758B" w:rsidRPr="00A12EC4">
        <w:rPr>
          <w:rFonts w:asciiTheme="minorHAnsi" w:hAnsiTheme="minorHAnsi" w:cstheme="minorHAnsi"/>
          <w:i/>
          <w:sz w:val="22"/>
          <w:szCs w:val="22"/>
          <w:u w:val="single"/>
        </w:rPr>
        <w:t xml:space="preserve"> kwerendy</w:t>
      </w:r>
    </w:p>
    <w:p w:rsidR="00535532" w:rsidRPr="00535532" w:rsidRDefault="00535532" w:rsidP="00535532">
      <w:pPr>
        <w:shd w:val="clear" w:color="auto" w:fill="FFFFFF" w:themeFill="background1"/>
        <w:spacing w:before="240"/>
        <w:rPr>
          <w:rFonts w:asciiTheme="minorHAnsi" w:eastAsia="Calibri" w:hAnsiTheme="minorHAnsi" w:cstheme="minorHAnsi"/>
          <w:b/>
          <w:i/>
          <w:sz w:val="20"/>
          <w:szCs w:val="20"/>
        </w:rPr>
      </w:pPr>
      <w:bookmarkStart w:id="0" w:name="_Hlk2072880"/>
      <w:r w:rsidRPr="00535532">
        <w:rPr>
          <w:rFonts w:asciiTheme="minorHAnsi" w:eastAsia="Calibri" w:hAnsiTheme="minorHAnsi" w:cstheme="minorHAnsi"/>
          <w:b/>
          <w:i/>
          <w:sz w:val="20"/>
          <w:szCs w:val="20"/>
        </w:rPr>
        <w:t>Wymagania zdrowotne</w:t>
      </w:r>
    </w:p>
    <w:p w:rsidR="00535532" w:rsidRPr="00535532" w:rsidRDefault="00535532" w:rsidP="00535532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1" w:name="_Toc498024057"/>
      <w:bookmarkStart w:id="2" w:name="_Toc498024161"/>
      <w:bookmarkStart w:id="3" w:name="_Toc498025765"/>
      <w:bookmarkStart w:id="4" w:name="_Toc498025872"/>
      <w:bookmarkStart w:id="5" w:name="_Toc498026069"/>
      <w:bookmarkEnd w:id="1"/>
      <w:bookmarkEnd w:id="2"/>
      <w:bookmarkEnd w:id="3"/>
      <w:bookmarkEnd w:id="4"/>
      <w:bookmarkEnd w:id="5"/>
      <w:r w:rsidRPr="00535532">
        <w:rPr>
          <w:rFonts w:asciiTheme="minorHAnsi" w:hAnsiTheme="minorHAnsi" w:cstheme="minorHAnsi"/>
          <w:color w:val="FF0000"/>
          <w:sz w:val="20"/>
          <w:szCs w:val="20"/>
        </w:rPr>
        <w:t xml:space="preserve">Praca  </w:t>
      </w:r>
      <w:r w:rsidRPr="00535532">
        <w:rPr>
          <w:rFonts w:asciiTheme="minorHAnsi" w:hAnsiTheme="minorHAnsi" w:cstheme="minorHAnsi"/>
          <w:b/>
          <w:color w:val="FF0000"/>
          <w:sz w:val="20"/>
          <w:szCs w:val="20"/>
        </w:rPr>
        <w:t>specjalisty systemów rozpoznawania mowy</w:t>
      </w:r>
      <w:r w:rsidRPr="0053553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bookmarkStart w:id="6" w:name="_Hlk2084525"/>
      <w:r w:rsidRPr="00535532">
        <w:rPr>
          <w:rFonts w:asciiTheme="minorHAnsi" w:hAnsiTheme="minorHAnsi" w:cstheme="minorHAnsi"/>
          <w:color w:val="FF0000"/>
          <w:sz w:val="20"/>
          <w:szCs w:val="20"/>
        </w:rPr>
        <w:t xml:space="preserve">pod względem wydatku energetycznego należy </w:t>
      </w:r>
      <w:bookmarkEnd w:id="6"/>
      <w:r w:rsidRPr="00535532">
        <w:rPr>
          <w:rFonts w:asciiTheme="minorHAnsi" w:hAnsiTheme="minorHAnsi" w:cstheme="minorHAnsi"/>
          <w:color w:val="FF0000"/>
          <w:sz w:val="20"/>
          <w:szCs w:val="20"/>
        </w:rPr>
        <w:t>do prac lekkich. Występuje w</w:t>
      </w:r>
      <w:r w:rsidR="00221B74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Pr="00535532">
        <w:rPr>
          <w:rFonts w:asciiTheme="minorHAnsi" w:hAnsiTheme="minorHAnsi" w:cstheme="minorHAnsi"/>
          <w:color w:val="FF0000"/>
          <w:sz w:val="20"/>
          <w:szCs w:val="20"/>
        </w:rPr>
        <w:t xml:space="preserve">niej również obciążenie umysłowe </w:t>
      </w:r>
      <w:bookmarkStart w:id="7" w:name="_Hlk2084651"/>
      <w:r w:rsidRPr="00535532">
        <w:rPr>
          <w:rFonts w:asciiTheme="minorHAnsi" w:hAnsiTheme="minorHAnsi" w:cstheme="minorHAnsi"/>
          <w:color w:val="FF0000"/>
          <w:sz w:val="20"/>
          <w:szCs w:val="20"/>
        </w:rPr>
        <w:t>związane np. z analizowaniem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Pr="00535532">
        <w:rPr>
          <w:rFonts w:asciiTheme="minorHAnsi" w:hAnsiTheme="minorHAnsi" w:cstheme="minorHAnsi"/>
          <w:color w:val="FF0000"/>
          <w:sz w:val="20"/>
          <w:szCs w:val="20"/>
        </w:rPr>
        <w:t> rozwiązywani</w:t>
      </w:r>
      <w:r w:rsidR="001B759A">
        <w:rPr>
          <w:rFonts w:asciiTheme="minorHAnsi" w:hAnsiTheme="minorHAnsi" w:cstheme="minorHAnsi"/>
          <w:color w:val="FF0000"/>
          <w:sz w:val="20"/>
          <w:szCs w:val="20"/>
        </w:rPr>
        <w:t xml:space="preserve">em </w:t>
      </w:r>
      <w:r w:rsidRPr="00535532">
        <w:rPr>
          <w:rFonts w:asciiTheme="minorHAnsi" w:hAnsiTheme="minorHAnsi" w:cstheme="minorHAnsi"/>
          <w:color w:val="FF0000"/>
          <w:sz w:val="20"/>
          <w:szCs w:val="20"/>
        </w:rPr>
        <w:t>problemów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i podejmowaniem decyzji</w:t>
      </w:r>
      <w:bookmarkEnd w:id="7"/>
      <w:r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Pr="0053553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535532" w:rsidRDefault="00535532" w:rsidP="00535532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bookmarkStart w:id="8" w:name="_Hlk2082736"/>
      <w:bookmarkStart w:id="9" w:name="_Hlk2084674"/>
      <w:r w:rsidRPr="00535532">
        <w:rPr>
          <w:rFonts w:asciiTheme="minorHAnsi" w:hAnsiTheme="minorHAnsi" w:cstheme="minorHAnsi"/>
          <w:color w:val="0070C0"/>
          <w:sz w:val="20"/>
          <w:szCs w:val="20"/>
        </w:rPr>
        <w:t xml:space="preserve">W tym zawodzie wymagana jest ogólna sprawność fizyczna, dobry słuch i wzrok oraz sprawność rąk. Przeciwwskazaniami do wykonywania zawodu są m.in.: </w:t>
      </w:r>
      <w:bookmarkEnd w:id="8"/>
      <w:r>
        <w:rPr>
          <w:rFonts w:asciiTheme="minorHAnsi" w:hAnsiTheme="minorHAnsi" w:cstheme="minorHAnsi"/>
          <w:color w:val="0070C0"/>
          <w:sz w:val="20"/>
          <w:szCs w:val="20"/>
        </w:rPr>
        <w:t>wady</w:t>
      </w:r>
      <w:r w:rsidRPr="00535532">
        <w:rPr>
          <w:rFonts w:asciiTheme="minorHAnsi" w:hAnsiTheme="minorHAnsi" w:cstheme="minorHAnsi"/>
          <w:color w:val="0070C0"/>
          <w:sz w:val="20"/>
          <w:szCs w:val="20"/>
        </w:rPr>
        <w:t xml:space="preserve"> wzroku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i słuchu nie poddające się korekcji,</w:t>
      </w:r>
      <w:r w:rsidRPr="00535532">
        <w:rPr>
          <w:rFonts w:asciiTheme="minorHAnsi" w:hAnsiTheme="minorHAnsi" w:cstheme="minorHAnsi"/>
          <w:color w:val="0070C0"/>
          <w:sz w:val="20"/>
          <w:szCs w:val="20"/>
        </w:rPr>
        <w:t xml:space="preserve"> wady wymowy. Funkcjonowanie w</w:t>
      </w:r>
      <w:r>
        <w:rPr>
          <w:rFonts w:asciiTheme="minorHAnsi" w:hAnsiTheme="minorHAnsi" w:cstheme="minorHAnsi"/>
          <w:color w:val="0070C0"/>
          <w:sz w:val="20"/>
          <w:szCs w:val="20"/>
        </w:rPr>
        <w:t> </w:t>
      </w:r>
      <w:r w:rsidRPr="00535532">
        <w:rPr>
          <w:rFonts w:asciiTheme="minorHAnsi" w:hAnsiTheme="minorHAnsi" w:cstheme="minorHAnsi"/>
          <w:color w:val="0070C0"/>
          <w:sz w:val="20"/>
          <w:szCs w:val="20"/>
        </w:rPr>
        <w:t>warunkach ciągłego stresu, pod presją czasu utrudnia pracę osobom z chorobami układu krążenia i układu nerwowego</w:t>
      </w:r>
      <w:r w:rsidRPr="00535532">
        <w:rPr>
          <w:rFonts w:asciiTheme="minorHAnsi" w:hAnsiTheme="minorHAnsi" w:cstheme="minorHAnsi"/>
          <w:b/>
          <w:color w:val="0070C0"/>
          <w:sz w:val="20"/>
          <w:szCs w:val="20"/>
        </w:rPr>
        <w:t>.</w:t>
      </w:r>
    </w:p>
    <w:p w:rsidR="009340CB" w:rsidRPr="009340CB" w:rsidRDefault="009340CB" w:rsidP="009340CB">
      <w:pPr>
        <w:shd w:val="clear" w:color="auto" w:fill="FFFFFF" w:themeFill="background1"/>
        <w:spacing w:before="240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9340CB">
        <w:rPr>
          <w:rFonts w:asciiTheme="minorHAnsi" w:eastAsia="Calibri" w:hAnsiTheme="minorHAnsi" w:cstheme="minorHAnsi"/>
          <w:b/>
          <w:i/>
          <w:sz w:val="20"/>
          <w:szCs w:val="20"/>
        </w:rPr>
        <w:t>Wymagania zdrowotne</w:t>
      </w:r>
    </w:p>
    <w:p w:rsidR="009340CB" w:rsidRPr="00D9758B" w:rsidRDefault="009340CB" w:rsidP="00D9758B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9758B">
        <w:rPr>
          <w:rFonts w:asciiTheme="minorHAnsi" w:hAnsiTheme="minorHAnsi" w:cstheme="minorHAnsi"/>
          <w:color w:val="FF0000"/>
          <w:sz w:val="20"/>
          <w:szCs w:val="20"/>
        </w:rPr>
        <w:t xml:space="preserve">Do pracy w zawodzie </w:t>
      </w:r>
      <w:r w:rsidRPr="00D9758B">
        <w:rPr>
          <w:rFonts w:asciiTheme="minorHAnsi" w:hAnsiTheme="minorHAnsi" w:cstheme="minorHAnsi"/>
          <w:b/>
          <w:color w:val="FF0000"/>
          <w:sz w:val="20"/>
          <w:szCs w:val="20"/>
        </w:rPr>
        <w:t>monter sprzętu oświetleniowego i lamp elektrycznych</w:t>
      </w:r>
      <w:r w:rsidRPr="00D9758B">
        <w:rPr>
          <w:rFonts w:asciiTheme="minorHAnsi" w:hAnsiTheme="minorHAnsi" w:cstheme="minorHAnsi"/>
          <w:color w:val="FF0000"/>
          <w:sz w:val="20"/>
          <w:szCs w:val="20"/>
        </w:rPr>
        <w:t xml:space="preserve"> wymagany jest ogólny dobry stan zdrowia, sprawność fizyczna, dobry wzrok oraz sprawność zmysłu dotyku. Pod względem wydatku energetycznego praca w tym zawodzie należy do prac średnio ciężkich.</w:t>
      </w:r>
      <w:r w:rsidR="00A067A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067A7" w:rsidRPr="00A067A7">
        <w:rPr>
          <w:rFonts w:asciiTheme="minorHAnsi" w:hAnsiTheme="minorHAnsi" w:cstheme="minorHAnsi"/>
          <w:color w:val="FF0000"/>
          <w:sz w:val="20"/>
          <w:szCs w:val="20"/>
        </w:rPr>
        <w:t>Nie występują w niej specyficzne obciążenia umysłowe.</w:t>
      </w:r>
    </w:p>
    <w:p w:rsidR="009340CB" w:rsidRPr="00D9758B" w:rsidRDefault="009340CB" w:rsidP="00D9758B">
      <w:pPr>
        <w:shd w:val="clear" w:color="auto" w:fill="FFFFFF" w:themeFill="background1"/>
        <w:spacing w:before="120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Do przeciwwskazań uniemożliwiających pracę w zawodzie</w:t>
      </w:r>
      <w:r w:rsidR="00A12EC4" w:rsidRPr="00A12EC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12EC4" w:rsidRPr="00A12EC4">
        <w:rPr>
          <w:rFonts w:asciiTheme="minorHAnsi" w:hAnsiTheme="minorHAnsi" w:cstheme="minorHAnsi"/>
          <w:color w:val="0070C0"/>
          <w:sz w:val="20"/>
          <w:szCs w:val="20"/>
        </w:rPr>
        <w:t xml:space="preserve">monter sprzętu oświetleniowego i lamp elektrycznych </w:t>
      </w:r>
      <w:r w:rsidRPr="00D9758B">
        <w:rPr>
          <w:rFonts w:asciiTheme="minorHAnsi" w:hAnsiTheme="minorHAnsi" w:cstheme="minorHAnsi"/>
          <w:color w:val="0070C0"/>
          <w:sz w:val="20"/>
          <w:szCs w:val="20"/>
        </w:rPr>
        <w:t>można zaliczyć:</w:t>
      </w:r>
    </w:p>
    <w:p w:rsidR="009340CB" w:rsidRPr="00D9758B" w:rsidRDefault="009340CB" w:rsidP="009340CB">
      <w:pPr>
        <w:pStyle w:val="Akapitzlist"/>
        <w:numPr>
          <w:ilvl w:val="0"/>
          <w:numId w:val="10"/>
        </w:numPr>
        <w:shd w:val="clear" w:color="auto" w:fill="FFFFFF"/>
        <w:tabs>
          <w:tab w:val="left" w:pos="770"/>
          <w:tab w:val="left" w:pos="851"/>
        </w:tabs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wady wzroku w stopniu uniemożliwiającym korekcję za pomocą okularów,</w:t>
      </w:r>
    </w:p>
    <w:p w:rsidR="009340CB" w:rsidRPr="00D9758B" w:rsidRDefault="009340CB" w:rsidP="009340CB">
      <w:pPr>
        <w:pStyle w:val="Akapitzlist"/>
        <w:numPr>
          <w:ilvl w:val="0"/>
          <w:numId w:val="10"/>
        </w:numPr>
        <w:shd w:val="clear" w:color="auto" w:fill="FFFFFF"/>
        <w:tabs>
          <w:tab w:val="left" w:pos="770"/>
          <w:tab w:val="left" w:pos="851"/>
        </w:tabs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astygmatyzm,</w:t>
      </w:r>
    </w:p>
    <w:p w:rsidR="009340CB" w:rsidRPr="00D9758B" w:rsidRDefault="009340CB" w:rsidP="009340CB">
      <w:pPr>
        <w:pStyle w:val="Akapitzlist"/>
        <w:numPr>
          <w:ilvl w:val="0"/>
          <w:numId w:val="10"/>
        </w:numPr>
        <w:shd w:val="clear" w:color="auto" w:fill="FFFFFF"/>
        <w:tabs>
          <w:tab w:val="left" w:pos="770"/>
          <w:tab w:val="left" w:pos="851"/>
        </w:tabs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zaburzenia widzenia barwnego,</w:t>
      </w:r>
    </w:p>
    <w:p w:rsidR="009340CB" w:rsidRPr="00D9758B" w:rsidRDefault="009340CB" w:rsidP="009340CB">
      <w:pPr>
        <w:pStyle w:val="Akapitzlist"/>
        <w:numPr>
          <w:ilvl w:val="0"/>
          <w:numId w:val="10"/>
        </w:numPr>
        <w:shd w:val="clear" w:color="auto" w:fill="FFFFFF"/>
        <w:tabs>
          <w:tab w:val="left" w:pos="770"/>
          <w:tab w:val="left" w:pos="851"/>
        </w:tabs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dysfunkcję kończyn górnych w zakresie precyzyjnego chwytania, sięgania, przenoszenia, skręcania, rozłączania.</w:t>
      </w:r>
    </w:p>
    <w:bookmarkEnd w:id="9"/>
    <w:p w:rsidR="007C122F" w:rsidRPr="00D9758B" w:rsidRDefault="007C122F" w:rsidP="007C122F">
      <w:pPr>
        <w:shd w:val="clear" w:color="auto" w:fill="FFFFFF"/>
        <w:spacing w:before="24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D9758B">
        <w:rPr>
          <w:rFonts w:asciiTheme="minorHAnsi" w:eastAsia="Calibri" w:hAnsiTheme="minorHAnsi" w:cstheme="minorHAnsi"/>
          <w:b/>
          <w:i/>
          <w:sz w:val="20"/>
          <w:szCs w:val="20"/>
        </w:rPr>
        <w:t>Wymagania zdrowotne</w:t>
      </w:r>
    </w:p>
    <w:p w:rsidR="007C122F" w:rsidRPr="00D9758B" w:rsidRDefault="007C122F" w:rsidP="007C122F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9758B">
        <w:rPr>
          <w:rFonts w:asciiTheme="minorHAnsi" w:hAnsiTheme="minorHAnsi" w:cstheme="minorHAnsi"/>
          <w:color w:val="FF0000"/>
          <w:sz w:val="20"/>
          <w:szCs w:val="20"/>
        </w:rPr>
        <w:t xml:space="preserve">Praca  </w:t>
      </w:r>
      <w:r w:rsidRPr="00D9758B">
        <w:rPr>
          <w:rFonts w:asciiTheme="minorHAnsi" w:hAnsiTheme="minorHAnsi" w:cstheme="minorHAnsi"/>
          <w:b/>
          <w:color w:val="FF0000"/>
          <w:sz w:val="20"/>
          <w:szCs w:val="20"/>
        </w:rPr>
        <w:t>specjalista do spraw organizacji usług gastronomicznych, hotelowych i turystycznych</w:t>
      </w:r>
      <w:r w:rsidRPr="00D9758B">
        <w:rPr>
          <w:rFonts w:asciiTheme="minorHAnsi" w:hAnsiTheme="minorHAnsi" w:cstheme="minorHAnsi"/>
          <w:color w:val="FF0000"/>
          <w:sz w:val="20"/>
          <w:szCs w:val="20"/>
        </w:rPr>
        <w:t xml:space="preserve"> pod względem wydatku energetycznego należy do prac lekkich. Występuje w niej również obciążenie umysłowe związane np. z</w:t>
      </w:r>
      <w:r w:rsidR="001B759A" w:rsidRPr="00D9758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Pr="00D9758B">
        <w:rPr>
          <w:rFonts w:asciiTheme="minorHAnsi" w:hAnsiTheme="minorHAnsi" w:cstheme="minorHAnsi"/>
          <w:color w:val="FF0000"/>
          <w:sz w:val="20"/>
          <w:szCs w:val="20"/>
        </w:rPr>
        <w:t>organizowaniem, analizowaniem,  </w:t>
      </w:r>
      <w:r w:rsidR="001B759A" w:rsidRPr="00D9758B">
        <w:rPr>
          <w:rFonts w:asciiTheme="minorHAnsi" w:hAnsiTheme="minorHAnsi" w:cstheme="minorHAnsi"/>
          <w:color w:val="FF0000"/>
          <w:sz w:val="20"/>
          <w:szCs w:val="20"/>
        </w:rPr>
        <w:t xml:space="preserve">rozwiązywaniem </w:t>
      </w:r>
      <w:r w:rsidRPr="00D9758B">
        <w:rPr>
          <w:rFonts w:asciiTheme="minorHAnsi" w:hAnsiTheme="minorHAnsi" w:cstheme="minorHAnsi"/>
          <w:color w:val="FF0000"/>
          <w:sz w:val="20"/>
          <w:szCs w:val="20"/>
        </w:rPr>
        <w:t xml:space="preserve"> problemów,  podejmowaniem decyzji, negocjowaniem. </w:t>
      </w:r>
    </w:p>
    <w:p w:rsidR="007C122F" w:rsidRPr="00D9758B" w:rsidRDefault="007C122F" w:rsidP="007C122F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Przeciwwskazaniami do wykonywania zawodu specjalista do spraw organizacji usług gastronomicznych, hotelowych i turystycznych są m.in.:</w:t>
      </w:r>
    </w:p>
    <w:p w:rsidR="007C122F" w:rsidRPr="00D9758B" w:rsidRDefault="007C122F" w:rsidP="007C122F">
      <w:pPr>
        <w:pStyle w:val="Akapitzlist"/>
        <w:numPr>
          <w:ilvl w:val="0"/>
          <w:numId w:val="5"/>
        </w:numPr>
        <w:shd w:val="clear" w:color="auto" w:fill="FFFFFF"/>
        <w:tabs>
          <w:tab w:val="left" w:pos="770"/>
          <w:tab w:val="left" w:pos="851"/>
        </w:tabs>
        <w:ind w:left="340" w:hanging="340"/>
        <w:contextualSpacing w:val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 xml:space="preserve">poważne schorzenia wzroku, </w:t>
      </w:r>
    </w:p>
    <w:p w:rsidR="007C122F" w:rsidRPr="00D9758B" w:rsidRDefault="007C122F" w:rsidP="007C122F">
      <w:pPr>
        <w:pStyle w:val="Akapitzlist"/>
        <w:numPr>
          <w:ilvl w:val="0"/>
          <w:numId w:val="5"/>
        </w:numPr>
        <w:shd w:val="clear" w:color="auto" w:fill="FFFFFF"/>
        <w:tabs>
          <w:tab w:val="left" w:pos="770"/>
          <w:tab w:val="left" w:pos="851"/>
        </w:tabs>
        <w:ind w:left="340" w:hanging="340"/>
        <w:contextualSpacing w:val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 xml:space="preserve">wady słuchu, </w:t>
      </w:r>
    </w:p>
    <w:p w:rsidR="007C122F" w:rsidRPr="00D9758B" w:rsidRDefault="007C122F" w:rsidP="007C122F">
      <w:pPr>
        <w:pStyle w:val="Akapitzlist"/>
        <w:numPr>
          <w:ilvl w:val="0"/>
          <w:numId w:val="5"/>
        </w:numPr>
        <w:shd w:val="clear" w:color="auto" w:fill="FFFFFF"/>
        <w:tabs>
          <w:tab w:val="left" w:pos="770"/>
          <w:tab w:val="left" w:pos="851"/>
        </w:tabs>
        <w:ind w:left="340" w:hanging="340"/>
        <w:contextualSpacing w:val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wady wymowy,</w:t>
      </w:r>
    </w:p>
    <w:p w:rsidR="007C122F" w:rsidRPr="00D9758B" w:rsidRDefault="007C122F" w:rsidP="007C122F">
      <w:pPr>
        <w:pStyle w:val="Akapitzlist"/>
        <w:numPr>
          <w:ilvl w:val="0"/>
          <w:numId w:val="5"/>
        </w:numPr>
        <w:shd w:val="clear" w:color="auto" w:fill="FFFFFF"/>
        <w:tabs>
          <w:tab w:val="left" w:pos="770"/>
          <w:tab w:val="left" w:pos="851"/>
        </w:tabs>
        <w:ind w:left="340" w:hanging="340"/>
        <w:contextualSpacing w:val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 xml:space="preserve">zaburzenia równowagi oraz padaczka, </w:t>
      </w:r>
    </w:p>
    <w:p w:rsidR="007C122F" w:rsidRPr="00D9758B" w:rsidRDefault="007C122F" w:rsidP="007C122F">
      <w:pPr>
        <w:pStyle w:val="Akapitzlist"/>
        <w:numPr>
          <w:ilvl w:val="0"/>
          <w:numId w:val="5"/>
        </w:numPr>
        <w:shd w:val="clear" w:color="auto" w:fill="FFFFFF"/>
        <w:tabs>
          <w:tab w:val="left" w:pos="770"/>
          <w:tab w:val="left" w:pos="851"/>
        </w:tabs>
        <w:ind w:left="340" w:hanging="340"/>
        <w:contextualSpacing w:val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 xml:space="preserve">zaburzenia układu krążenia, </w:t>
      </w:r>
    </w:p>
    <w:p w:rsidR="007C122F" w:rsidRPr="00D9758B" w:rsidRDefault="007C122F" w:rsidP="007C122F">
      <w:pPr>
        <w:pStyle w:val="Akapitzlist"/>
        <w:numPr>
          <w:ilvl w:val="0"/>
          <w:numId w:val="9"/>
        </w:numPr>
        <w:shd w:val="clear" w:color="auto" w:fill="FFFFFF"/>
        <w:tabs>
          <w:tab w:val="left" w:pos="770"/>
        </w:tabs>
        <w:ind w:left="357" w:hanging="357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D9758B">
        <w:rPr>
          <w:rFonts w:asciiTheme="minorHAnsi" w:hAnsiTheme="minorHAnsi" w:cstheme="minorHAnsi"/>
          <w:color w:val="0070C0"/>
          <w:sz w:val="20"/>
          <w:szCs w:val="20"/>
        </w:rPr>
        <w:t>niska odporność psychiczna.</w:t>
      </w:r>
    </w:p>
    <w:p w:rsidR="00A12EC4" w:rsidRDefault="00A12EC4" w:rsidP="00535532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535532" w:rsidRPr="00457EB9" w:rsidRDefault="00535532" w:rsidP="00535532">
      <w:pP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457EB9">
        <w:rPr>
          <w:rFonts w:asciiTheme="minorHAnsi" w:hAnsiTheme="minorHAnsi" w:cstheme="minorHAnsi"/>
          <w:i/>
          <w:sz w:val="22"/>
          <w:szCs w:val="22"/>
          <w:u w:val="single"/>
        </w:rPr>
        <w:t xml:space="preserve">Komentarz: </w:t>
      </w:r>
    </w:p>
    <w:p w:rsidR="00535532" w:rsidRPr="00457EB9" w:rsidRDefault="00535532" w:rsidP="00171FF0">
      <w:pPr>
        <w:pStyle w:val="Akapitzlist"/>
        <w:numPr>
          <w:ilvl w:val="0"/>
          <w:numId w:val="8"/>
        </w:numPr>
        <w:shd w:val="clear" w:color="auto" w:fill="FFFFFF" w:themeFill="background1"/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57EB9">
        <w:rPr>
          <w:rFonts w:asciiTheme="minorHAnsi" w:hAnsiTheme="minorHAnsi" w:cstheme="minorHAnsi"/>
          <w:color w:val="FF0000"/>
          <w:sz w:val="20"/>
          <w:szCs w:val="20"/>
        </w:rPr>
        <w:t xml:space="preserve">To co na czerwono to efekt analizy </w:t>
      </w:r>
      <w:r w:rsidRPr="00457EB9">
        <w:rPr>
          <w:rFonts w:asciiTheme="minorHAnsi" w:hAnsiTheme="minorHAnsi" w:cstheme="minorHAnsi"/>
          <w:b/>
          <w:color w:val="FF0000"/>
          <w:sz w:val="20"/>
          <w:szCs w:val="20"/>
        </w:rPr>
        <w:t>niniejszej kwerendy</w:t>
      </w:r>
      <w:r w:rsidRPr="00457EB9">
        <w:rPr>
          <w:rFonts w:asciiTheme="minorHAnsi" w:hAnsiTheme="minorHAnsi" w:cstheme="minorHAnsi"/>
          <w:color w:val="FF0000"/>
          <w:sz w:val="20"/>
          <w:szCs w:val="20"/>
        </w:rPr>
        <w:t xml:space="preserve"> oraz zapisów w sekcji</w:t>
      </w:r>
      <w:r w:rsidR="00A12EC4" w:rsidRPr="00457EB9">
        <w:rPr>
          <w:rFonts w:asciiTheme="minorHAnsi" w:hAnsiTheme="minorHAnsi" w:cstheme="minorHAnsi"/>
          <w:color w:val="FF0000"/>
          <w:sz w:val="20"/>
          <w:szCs w:val="20"/>
        </w:rPr>
        <w:t xml:space="preserve"> danego opisu</w:t>
      </w:r>
      <w:r w:rsidRPr="00457EB9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 w:rsidRPr="00457EB9">
        <w:rPr>
          <w:rFonts w:asciiTheme="minorHAnsi" w:hAnsiTheme="minorHAnsi" w:cstheme="minorHAnsi"/>
          <w:b/>
          <w:color w:val="FF0000"/>
          <w:sz w:val="20"/>
          <w:szCs w:val="20"/>
        </w:rPr>
        <w:t>Wymagania psychofizyczne</w:t>
      </w:r>
      <w:r w:rsidRPr="00457EB9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</w:p>
    <w:p w:rsidR="00535532" w:rsidRPr="00457EB9" w:rsidRDefault="00535532" w:rsidP="00171FF0">
      <w:pPr>
        <w:pStyle w:val="Akapitzlist"/>
        <w:numPr>
          <w:ilvl w:val="0"/>
          <w:numId w:val="8"/>
        </w:numPr>
        <w:shd w:val="clear" w:color="auto" w:fill="FFFFFF" w:themeFill="background1"/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57EB9">
        <w:rPr>
          <w:rFonts w:asciiTheme="minorHAnsi" w:hAnsiTheme="minorHAnsi" w:cstheme="minorHAnsi"/>
          <w:color w:val="0070C0"/>
          <w:sz w:val="20"/>
          <w:szCs w:val="20"/>
        </w:rPr>
        <w:t xml:space="preserve">To co na niebiesko to  efekt analizy zapisów w sekcji </w:t>
      </w:r>
      <w:r w:rsidR="00A12EC4" w:rsidRPr="00457EB9">
        <w:rPr>
          <w:rFonts w:asciiTheme="minorHAnsi" w:hAnsiTheme="minorHAnsi" w:cstheme="minorHAnsi"/>
          <w:color w:val="0070C0"/>
          <w:sz w:val="20"/>
          <w:szCs w:val="20"/>
        </w:rPr>
        <w:t xml:space="preserve"> danego opisu: </w:t>
      </w:r>
      <w:r w:rsidRPr="00457EB9">
        <w:rPr>
          <w:rFonts w:asciiTheme="minorHAnsi" w:hAnsiTheme="minorHAnsi" w:cstheme="minorHAnsi"/>
          <w:b/>
          <w:color w:val="0070C0"/>
          <w:sz w:val="20"/>
          <w:szCs w:val="20"/>
        </w:rPr>
        <w:t>Zagrożenia mające wpływ na bezpieczeństwo pracy</w:t>
      </w:r>
      <w:r w:rsidRPr="00457EB9">
        <w:rPr>
          <w:rFonts w:asciiTheme="minorHAnsi" w:hAnsiTheme="minorHAnsi" w:cstheme="minorHAnsi"/>
          <w:color w:val="0070C0"/>
          <w:sz w:val="20"/>
          <w:szCs w:val="20"/>
        </w:rPr>
        <w:t xml:space="preserve"> oraz  w sekcji: </w:t>
      </w:r>
      <w:r w:rsidRPr="00457EB9">
        <w:rPr>
          <w:rFonts w:asciiTheme="minorHAnsi" w:hAnsiTheme="minorHAnsi" w:cstheme="minorHAnsi"/>
          <w:b/>
          <w:color w:val="0070C0"/>
          <w:sz w:val="20"/>
          <w:szCs w:val="20"/>
        </w:rPr>
        <w:t>Wymagania psychofizyczne</w:t>
      </w:r>
      <w:r w:rsidRPr="00457EB9">
        <w:rPr>
          <w:rFonts w:asciiTheme="minorHAnsi" w:hAnsiTheme="minorHAnsi" w:cstheme="minorHAnsi"/>
          <w:sz w:val="20"/>
          <w:szCs w:val="20"/>
        </w:rPr>
        <w:t>.</w:t>
      </w:r>
    </w:p>
    <w:p w:rsidR="00A12EC4" w:rsidRPr="00457EB9" w:rsidRDefault="00A12EC4" w:rsidP="00A12EC4">
      <w:pPr>
        <w:pStyle w:val="Akapitzlist"/>
        <w:numPr>
          <w:ilvl w:val="0"/>
          <w:numId w:val="8"/>
        </w:numPr>
        <w:shd w:val="clear" w:color="auto" w:fill="FFFFFF" w:themeFill="background1"/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57EB9">
        <w:rPr>
          <w:rFonts w:asciiTheme="minorHAnsi" w:hAnsiTheme="minorHAnsi" w:cstheme="minorHAnsi"/>
          <w:sz w:val="20"/>
          <w:szCs w:val="20"/>
        </w:rPr>
        <w:t>W niektórych zawodach (np. kosmetyczka) dopisujemy:</w:t>
      </w:r>
    </w:p>
    <w:p w:rsidR="00A12EC4" w:rsidRPr="00221B74" w:rsidRDefault="00A12EC4" w:rsidP="00A12EC4">
      <w:pPr>
        <w:pStyle w:val="Akapitzlist"/>
        <w:shd w:val="clear" w:color="auto" w:fill="FFFFFF" w:themeFill="background1"/>
        <w:ind w:left="425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 wykonywana zawodu kosmetyczka  wymagane jest aktualne orzeczenie (zaświadczenie wydane przez lekarza medycyny pracy) do celów sanitarno-epidemiologicznych stwierdzające zdolność do wykonywani pracy.</w:t>
      </w:r>
    </w:p>
    <w:p w:rsidR="00221B74" w:rsidRPr="00457EB9" w:rsidRDefault="00221B74" w:rsidP="00171FF0">
      <w:pPr>
        <w:pStyle w:val="Akapitzlist"/>
        <w:numPr>
          <w:ilvl w:val="0"/>
          <w:numId w:val="8"/>
        </w:numPr>
        <w:shd w:val="clear" w:color="auto" w:fill="FFFFFF" w:themeFill="background1"/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57EB9">
        <w:rPr>
          <w:rFonts w:asciiTheme="minorHAnsi" w:hAnsiTheme="minorHAnsi" w:cstheme="minorHAnsi"/>
          <w:sz w:val="20"/>
          <w:szCs w:val="20"/>
        </w:rPr>
        <w:t xml:space="preserve">Porównywalny sposób </w:t>
      </w:r>
      <w:r w:rsidR="00A12EC4" w:rsidRPr="00457EB9">
        <w:rPr>
          <w:rFonts w:asciiTheme="minorHAnsi" w:hAnsiTheme="minorHAnsi" w:cstheme="minorHAnsi"/>
          <w:sz w:val="20"/>
          <w:szCs w:val="20"/>
        </w:rPr>
        <w:t>zapisu dla sekcji „W</w:t>
      </w:r>
      <w:r w:rsidR="00E405EF">
        <w:rPr>
          <w:rFonts w:asciiTheme="minorHAnsi" w:hAnsiTheme="minorHAnsi" w:cstheme="minorHAnsi"/>
          <w:sz w:val="20"/>
          <w:szCs w:val="20"/>
        </w:rPr>
        <w:t>yma</w:t>
      </w:r>
      <w:r w:rsidR="00A12EC4" w:rsidRPr="00457EB9">
        <w:rPr>
          <w:rFonts w:asciiTheme="minorHAnsi" w:hAnsiTheme="minorHAnsi" w:cstheme="minorHAnsi"/>
          <w:sz w:val="20"/>
          <w:szCs w:val="20"/>
        </w:rPr>
        <w:t xml:space="preserve">gania zdrowotne”, </w:t>
      </w:r>
      <w:r w:rsidRPr="00457EB9">
        <w:rPr>
          <w:rFonts w:asciiTheme="minorHAnsi" w:hAnsiTheme="minorHAnsi" w:cstheme="minorHAnsi"/>
          <w:sz w:val="20"/>
          <w:szCs w:val="20"/>
        </w:rPr>
        <w:t xml:space="preserve"> </w:t>
      </w:r>
      <w:r w:rsidR="00171FF0" w:rsidRPr="00457EB9">
        <w:rPr>
          <w:rFonts w:asciiTheme="minorHAnsi" w:hAnsiTheme="minorHAnsi" w:cstheme="minorHAnsi"/>
          <w:sz w:val="20"/>
          <w:szCs w:val="20"/>
        </w:rPr>
        <w:t>na bazie powyższ</w:t>
      </w:r>
      <w:r w:rsidR="00A12EC4" w:rsidRPr="00457EB9">
        <w:rPr>
          <w:rFonts w:asciiTheme="minorHAnsi" w:hAnsiTheme="minorHAnsi" w:cstheme="minorHAnsi"/>
          <w:sz w:val="20"/>
          <w:szCs w:val="20"/>
        </w:rPr>
        <w:t>ych</w:t>
      </w:r>
      <w:r w:rsidR="00171FF0" w:rsidRPr="00457EB9">
        <w:rPr>
          <w:rFonts w:asciiTheme="minorHAnsi" w:hAnsiTheme="minorHAnsi" w:cstheme="minorHAnsi"/>
          <w:sz w:val="20"/>
          <w:szCs w:val="20"/>
        </w:rPr>
        <w:t xml:space="preserve"> przykład</w:t>
      </w:r>
      <w:r w:rsidR="00A12EC4" w:rsidRPr="00457EB9">
        <w:rPr>
          <w:rFonts w:asciiTheme="minorHAnsi" w:hAnsiTheme="minorHAnsi" w:cstheme="minorHAnsi"/>
          <w:sz w:val="20"/>
          <w:szCs w:val="20"/>
        </w:rPr>
        <w:t>ów,</w:t>
      </w:r>
      <w:r w:rsidR="00171FF0" w:rsidRPr="00457EB9">
        <w:rPr>
          <w:rFonts w:asciiTheme="minorHAnsi" w:hAnsiTheme="minorHAnsi" w:cstheme="minorHAnsi"/>
          <w:sz w:val="20"/>
          <w:szCs w:val="20"/>
        </w:rPr>
        <w:t xml:space="preserve"> </w:t>
      </w:r>
      <w:r w:rsidRPr="00457EB9">
        <w:rPr>
          <w:rFonts w:asciiTheme="minorHAnsi" w:hAnsiTheme="minorHAnsi" w:cstheme="minorHAnsi"/>
          <w:sz w:val="20"/>
          <w:szCs w:val="20"/>
        </w:rPr>
        <w:t>dotyczy wszystkich zawodów będących w stadium opisywania i</w:t>
      </w:r>
      <w:r w:rsidR="00171FF0" w:rsidRPr="00457EB9">
        <w:rPr>
          <w:rFonts w:asciiTheme="minorHAnsi" w:hAnsiTheme="minorHAnsi" w:cstheme="minorHAnsi"/>
          <w:sz w:val="20"/>
          <w:szCs w:val="20"/>
        </w:rPr>
        <w:t> </w:t>
      </w:r>
      <w:r w:rsidRPr="00457EB9">
        <w:rPr>
          <w:rFonts w:asciiTheme="minorHAnsi" w:hAnsiTheme="minorHAnsi" w:cstheme="minorHAnsi"/>
          <w:sz w:val="20"/>
          <w:szCs w:val="20"/>
        </w:rPr>
        <w:t>weryfikacji.</w:t>
      </w:r>
    </w:p>
    <w:bookmarkEnd w:id="0"/>
    <w:p w:rsidR="00535532" w:rsidRPr="00535532" w:rsidRDefault="00535532" w:rsidP="00BB1A7D">
      <w:pPr>
        <w:pStyle w:val="Nagwek"/>
        <w:rPr>
          <w:rFonts w:asciiTheme="minorHAnsi" w:hAnsiTheme="minorHAnsi" w:cstheme="minorHAnsi"/>
          <w:i/>
          <w:sz w:val="20"/>
          <w:szCs w:val="20"/>
        </w:rPr>
      </w:pPr>
    </w:p>
    <w:p w:rsidR="00A12EC4" w:rsidRDefault="00A12EC4" w:rsidP="00535532">
      <w:pPr>
        <w:pStyle w:val="Nagwek"/>
        <w:rPr>
          <w:rFonts w:asciiTheme="minorHAnsi" w:hAnsiTheme="minorHAnsi" w:cstheme="minorHAnsi"/>
          <w:i/>
          <w:sz w:val="20"/>
          <w:szCs w:val="20"/>
        </w:rPr>
      </w:pPr>
      <w:bookmarkStart w:id="10" w:name="_GoBack"/>
      <w:bookmarkEnd w:id="10"/>
    </w:p>
    <w:p w:rsidR="00535532" w:rsidRDefault="00535532" w:rsidP="00535532">
      <w:pPr>
        <w:pStyle w:val="Nagwek"/>
        <w:rPr>
          <w:rFonts w:asciiTheme="minorHAnsi" w:hAnsiTheme="minorHAnsi" w:cstheme="minorHAnsi"/>
          <w:i/>
          <w:sz w:val="20"/>
          <w:szCs w:val="20"/>
        </w:rPr>
      </w:pPr>
      <w:r w:rsidRPr="00535532">
        <w:rPr>
          <w:rFonts w:asciiTheme="minorHAnsi" w:hAnsiTheme="minorHAnsi" w:cstheme="minorHAnsi"/>
          <w:i/>
          <w:sz w:val="20"/>
          <w:szCs w:val="20"/>
        </w:rPr>
        <w:t xml:space="preserve">Przygotował: dr </w:t>
      </w:r>
      <w:r w:rsidR="00A12EC4">
        <w:rPr>
          <w:rFonts w:asciiTheme="minorHAnsi" w:hAnsiTheme="minorHAnsi" w:cstheme="minorHAnsi"/>
          <w:i/>
          <w:sz w:val="20"/>
          <w:szCs w:val="20"/>
        </w:rPr>
        <w:t xml:space="preserve">inż. </w:t>
      </w:r>
      <w:r w:rsidRPr="00535532">
        <w:rPr>
          <w:rFonts w:asciiTheme="minorHAnsi" w:hAnsiTheme="minorHAnsi" w:cstheme="minorHAnsi"/>
          <w:i/>
          <w:sz w:val="20"/>
          <w:szCs w:val="20"/>
        </w:rPr>
        <w:t>Krzysztof Symela</w:t>
      </w:r>
      <w:r w:rsidR="00A12EC4">
        <w:rPr>
          <w:rFonts w:asciiTheme="minorHAnsi" w:hAnsiTheme="minorHAnsi" w:cstheme="minorHAnsi"/>
          <w:i/>
          <w:sz w:val="20"/>
          <w:szCs w:val="20"/>
        </w:rPr>
        <w:t xml:space="preserve"> – Ekspert kluczowy ds. tworzenia IoZ</w:t>
      </w:r>
    </w:p>
    <w:p w:rsidR="00BB1A7D" w:rsidRDefault="00BB1A7D"/>
    <w:sectPr w:rsidR="00BB1A7D" w:rsidSect="004605B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A6" w:rsidRDefault="009B1EA6" w:rsidP="00BB1A7D">
      <w:r>
        <w:separator/>
      </w:r>
    </w:p>
  </w:endnote>
  <w:endnote w:type="continuationSeparator" w:id="0">
    <w:p w:rsidR="009B1EA6" w:rsidRDefault="009B1EA6" w:rsidP="00BB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in725PL-BoldItalic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in725PL-Roman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in725PL-Bold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A6" w:rsidRDefault="009B1EA6" w:rsidP="00BB1A7D">
      <w:r>
        <w:separator/>
      </w:r>
    </w:p>
  </w:footnote>
  <w:footnote w:type="continuationSeparator" w:id="0">
    <w:p w:rsidR="009B1EA6" w:rsidRDefault="009B1EA6" w:rsidP="00BB1A7D">
      <w:r>
        <w:continuationSeparator/>
      </w:r>
    </w:p>
  </w:footnote>
  <w:footnote w:id="1">
    <w:p w:rsidR="00BB1A7D" w:rsidRPr="00BB1A7D" w:rsidRDefault="00BB1A7D" w:rsidP="00BB1A7D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BB1A7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1A7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BB1A7D">
        <w:rPr>
          <w:rFonts w:asciiTheme="minorHAnsi" w:hAnsiTheme="minorHAnsi" w:cstheme="minorHAnsi"/>
          <w:sz w:val="18"/>
          <w:szCs w:val="18"/>
        </w:rPr>
        <w:t>Na podstawie: Lipowska M., Wawrzyńczyk-Kaplińska: Wykonywanie zawodu ocena niezdolności do pracy. W: Standardy orzecznictwa lekarskiego. Wydanie II. Zakład Ubezpieczeń Społecznych, Warszawa 2013</w:t>
      </w:r>
      <w:r>
        <w:rPr>
          <w:rFonts w:asciiTheme="minorHAnsi" w:hAnsiTheme="minorHAnsi" w:cstheme="minorHAnsi"/>
          <w:sz w:val="18"/>
          <w:szCs w:val="18"/>
        </w:rPr>
        <w:t>, s. 12-14.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D" w:rsidRPr="00BB1A7D" w:rsidRDefault="00BB1A7D" w:rsidP="00BB1A7D">
    <w:pPr>
      <w:pStyle w:val="Nagwek"/>
      <w:jc w:val="center"/>
      <w:rPr>
        <w:rFonts w:asciiTheme="minorHAnsi" w:hAnsiTheme="minorHAnsi" w:cstheme="minorHAnsi"/>
        <w:b/>
        <w:sz w:val="20"/>
        <w:szCs w:val="20"/>
      </w:rPr>
    </w:pPr>
    <w:r w:rsidRPr="00BB1A7D">
      <w:rPr>
        <w:rFonts w:asciiTheme="minorHAnsi" w:hAnsiTheme="minorHAnsi" w:cstheme="minorHAnsi"/>
        <w:b/>
        <w:sz w:val="20"/>
        <w:szCs w:val="20"/>
      </w:rPr>
      <w:t>INFODORADCA+</w:t>
    </w:r>
  </w:p>
  <w:p w:rsidR="00BB1A7D" w:rsidRPr="00BB1A7D" w:rsidRDefault="00BB1A7D" w:rsidP="00BB1A7D">
    <w:pPr>
      <w:pStyle w:val="Nagwek"/>
      <w:jc w:val="center"/>
      <w:rPr>
        <w:rFonts w:asciiTheme="minorHAnsi" w:hAnsiTheme="minorHAnsi" w:cstheme="minorHAnsi"/>
        <w:b/>
        <w:sz w:val="20"/>
        <w:szCs w:val="20"/>
      </w:rPr>
    </w:pPr>
    <w:r w:rsidRPr="00BB1A7D">
      <w:rPr>
        <w:rFonts w:asciiTheme="minorHAnsi" w:hAnsiTheme="minorHAnsi" w:cstheme="minorHAnsi"/>
        <w:b/>
        <w:sz w:val="20"/>
        <w:szCs w:val="20"/>
      </w:rPr>
      <w:t xml:space="preserve">Materiał pomocniczy dla ekspertów metodologicznych i </w:t>
    </w:r>
    <w:r w:rsidR="00A12EC4">
      <w:rPr>
        <w:rFonts w:asciiTheme="minorHAnsi" w:hAnsiTheme="minorHAnsi" w:cstheme="minorHAnsi"/>
        <w:b/>
        <w:sz w:val="20"/>
        <w:szCs w:val="20"/>
      </w:rPr>
      <w:t>a</w:t>
    </w:r>
    <w:r w:rsidR="00E405EF">
      <w:rPr>
        <w:rFonts w:asciiTheme="minorHAnsi" w:hAnsiTheme="minorHAnsi" w:cstheme="minorHAnsi"/>
        <w:b/>
        <w:sz w:val="20"/>
        <w:szCs w:val="20"/>
      </w:rPr>
      <w:t>u</w:t>
    </w:r>
    <w:r w:rsidR="00A12EC4">
      <w:rPr>
        <w:rFonts w:asciiTheme="minorHAnsi" w:hAnsiTheme="minorHAnsi" w:cstheme="minorHAnsi"/>
        <w:b/>
        <w:sz w:val="20"/>
        <w:szCs w:val="20"/>
      </w:rPr>
      <w:t xml:space="preserve">torów opisów </w:t>
    </w:r>
    <w:proofErr w:type="spellStart"/>
    <w:r w:rsidR="00A12EC4">
      <w:rPr>
        <w:rFonts w:asciiTheme="minorHAnsi" w:hAnsiTheme="minorHAnsi" w:cstheme="minorHAnsi"/>
        <w:b/>
        <w:sz w:val="20"/>
        <w:szCs w:val="20"/>
      </w:rPr>
      <w:t>IoZ</w:t>
    </w:r>
    <w:proofErr w:type="spellEnd"/>
    <w:r w:rsidR="00A12EC4">
      <w:rPr>
        <w:rFonts w:asciiTheme="minorHAnsi" w:hAnsiTheme="minorHAnsi" w:cstheme="minorHAnsi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493"/>
    <w:multiLevelType w:val="hybridMultilevel"/>
    <w:tmpl w:val="19A4EFAC"/>
    <w:lvl w:ilvl="0" w:tplc="A814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70B2"/>
    <w:multiLevelType w:val="multilevel"/>
    <w:tmpl w:val="34702EE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Calibri" w:eastAsia="Times New Roman" w:hAnsi="Calibri" w:cs="Arial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F14351C"/>
    <w:multiLevelType w:val="multilevel"/>
    <w:tmpl w:val="8144A4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C2A1C6E"/>
    <w:multiLevelType w:val="hybridMultilevel"/>
    <w:tmpl w:val="B1A2FFE0"/>
    <w:lvl w:ilvl="0" w:tplc="8DAA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C44B5"/>
    <w:multiLevelType w:val="hybridMultilevel"/>
    <w:tmpl w:val="25046CA4"/>
    <w:lvl w:ilvl="0" w:tplc="A814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D4EFC"/>
    <w:multiLevelType w:val="hybridMultilevel"/>
    <w:tmpl w:val="7E56314C"/>
    <w:lvl w:ilvl="0" w:tplc="7972A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14BA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990E682">
      <w:numFmt w:val="bullet"/>
      <w:lvlText w:val="•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BC19EC"/>
    <w:multiLevelType w:val="hybridMultilevel"/>
    <w:tmpl w:val="913C2E16"/>
    <w:lvl w:ilvl="0" w:tplc="44666296">
      <w:start w:val="1"/>
      <w:numFmt w:val="decimal"/>
      <w:lvlText w:val="%1)"/>
      <w:lvlJc w:val="left"/>
      <w:pPr>
        <w:ind w:left="720" w:hanging="360"/>
      </w:pPr>
      <w:rPr>
        <w:rFonts w:eastAsia="Latin725PL-BoldItalicA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3642E"/>
    <w:multiLevelType w:val="multilevel"/>
    <w:tmpl w:val="F16A0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9DE11D6"/>
    <w:multiLevelType w:val="multilevel"/>
    <w:tmpl w:val="954E5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BC3E13"/>
    <w:multiLevelType w:val="hybridMultilevel"/>
    <w:tmpl w:val="4AF29DA8"/>
    <w:lvl w:ilvl="0" w:tplc="A814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D4954"/>
    <w:multiLevelType w:val="hybridMultilevel"/>
    <w:tmpl w:val="A11896B4"/>
    <w:lvl w:ilvl="0" w:tplc="A814BAC0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7D"/>
    <w:rsid w:val="00171FF0"/>
    <w:rsid w:val="001B759A"/>
    <w:rsid w:val="00221B74"/>
    <w:rsid w:val="002371F3"/>
    <w:rsid w:val="00363CCD"/>
    <w:rsid w:val="00426B2B"/>
    <w:rsid w:val="00457EB9"/>
    <w:rsid w:val="004605BC"/>
    <w:rsid w:val="00535532"/>
    <w:rsid w:val="006913E8"/>
    <w:rsid w:val="00770D24"/>
    <w:rsid w:val="00774A47"/>
    <w:rsid w:val="007C122F"/>
    <w:rsid w:val="008518E0"/>
    <w:rsid w:val="00866B18"/>
    <w:rsid w:val="009340CB"/>
    <w:rsid w:val="009B1EA6"/>
    <w:rsid w:val="00A067A7"/>
    <w:rsid w:val="00A07B86"/>
    <w:rsid w:val="00A12EC4"/>
    <w:rsid w:val="00A75900"/>
    <w:rsid w:val="00B36036"/>
    <w:rsid w:val="00BB1A7D"/>
    <w:rsid w:val="00D9758B"/>
    <w:rsid w:val="00DA01A5"/>
    <w:rsid w:val="00E4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535532"/>
    <w:pPr>
      <w:keepNext/>
      <w:pageBreakBefore/>
      <w:numPr>
        <w:numId w:val="2"/>
      </w:numPr>
      <w:shd w:val="clear" w:color="auto" w:fill="8DB3E2"/>
      <w:tabs>
        <w:tab w:val="left" w:pos="426"/>
      </w:tabs>
      <w:spacing w:before="480" w:after="240"/>
      <w:jc w:val="both"/>
      <w:outlineLvl w:val="0"/>
    </w:pPr>
    <w:rPr>
      <w:rFonts w:ascii="Calibri" w:hAnsi="Calibri" w:cs="Arial"/>
      <w:b/>
      <w:bCs/>
      <w:smallCap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5532"/>
    <w:pPr>
      <w:keepNext/>
      <w:numPr>
        <w:ilvl w:val="1"/>
        <w:numId w:val="2"/>
      </w:numPr>
      <w:tabs>
        <w:tab w:val="left" w:pos="709"/>
      </w:tabs>
      <w:spacing w:before="120" w:after="120"/>
      <w:jc w:val="both"/>
      <w:outlineLvl w:val="1"/>
    </w:pPr>
    <w:rPr>
      <w:rFonts w:ascii="Calibri" w:hAnsi="Calibri" w:cs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A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A7D"/>
    <w:rPr>
      <w:vertAlign w:val="superscript"/>
    </w:rPr>
  </w:style>
  <w:style w:type="paragraph" w:styleId="Akapitzlist">
    <w:name w:val="List Paragraph"/>
    <w:aliases w:val="Obiekt,List Paragraph,normalny tekst,Kolorowa lista — akcent 11,Akapit z listą1,Heding 2,a_Stand,numerowanie,Numerowanie"/>
    <w:basedOn w:val="Normalny"/>
    <w:uiPriority w:val="99"/>
    <w:qFormat/>
    <w:rsid w:val="00A07B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535532"/>
    <w:rPr>
      <w:rFonts w:ascii="Calibri" w:eastAsia="Times New Roman" w:hAnsi="Calibri" w:cs="Arial"/>
      <w:b/>
      <w:bCs/>
      <w:smallCaps/>
      <w:kern w:val="32"/>
      <w:sz w:val="28"/>
      <w:szCs w:val="28"/>
      <w:shd w:val="clear" w:color="auto" w:fill="8DB3E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35532"/>
    <w:rPr>
      <w:rFonts w:ascii="Calibri" w:eastAsia="Times New Roman" w:hAnsi="Calibri" w:cs="Arial"/>
      <w:b/>
      <w:bCs/>
      <w:sz w:val="24"/>
      <w:szCs w:val="28"/>
      <w:lang w:eastAsia="pl-PL"/>
    </w:rPr>
  </w:style>
  <w:style w:type="table" w:styleId="Tabela-Siatka">
    <w:name w:val="Table Grid"/>
    <w:basedOn w:val="Standardowy"/>
    <w:uiPriority w:val="99"/>
    <w:rsid w:val="0053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355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5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55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535532"/>
    <w:pPr>
      <w:keepNext/>
      <w:pageBreakBefore/>
      <w:numPr>
        <w:numId w:val="2"/>
      </w:numPr>
      <w:shd w:val="clear" w:color="auto" w:fill="8DB3E2"/>
      <w:tabs>
        <w:tab w:val="left" w:pos="426"/>
      </w:tabs>
      <w:spacing w:before="480" w:after="240"/>
      <w:jc w:val="both"/>
      <w:outlineLvl w:val="0"/>
    </w:pPr>
    <w:rPr>
      <w:rFonts w:ascii="Calibri" w:hAnsi="Calibri" w:cs="Arial"/>
      <w:b/>
      <w:bCs/>
      <w:smallCap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5532"/>
    <w:pPr>
      <w:keepNext/>
      <w:numPr>
        <w:ilvl w:val="1"/>
        <w:numId w:val="2"/>
      </w:numPr>
      <w:tabs>
        <w:tab w:val="left" w:pos="709"/>
      </w:tabs>
      <w:spacing w:before="120" w:after="120"/>
      <w:jc w:val="both"/>
      <w:outlineLvl w:val="1"/>
    </w:pPr>
    <w:rPr>
      <w:rFonts w:ascii="Calibri" w:hAnsi="Calibri" w:cs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A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A7D"/>
    <w:rPr>
      <w:vertAlign w:val="superscript"/>
    </w:rPr>
  </w:style>
  <w:style w:type="paragraph" w:styleId="Akapitzlist">
    <w:name w:val="List Paragraph"/>
    <w:aliases w:val="Obiekt,List Paragraph,normalny tekst,Kolorowa lista — akcent 11,Akapit z listą1,Heding 2,a_Stand,numerowanie,Numerowanie"/>
    <w:basedOn w:val="Normalny"/>
    <w:uiPriority w:val="99"/>
    <w:qFormat/>
    <w:rsid w:val="00A07B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535532"/>
    <w:rPr>
      <w:rFonts w:ascii="Calibri" w:eastAsia="Times New Roman" w:hAnsi="Calibri" w:cs="Arial"/>
      <w:b/>
      <w:bCs/>
      <w:smallCaps/>
      <w:kern w:val="32"/>
      <w:sz w:val="28"/>
      <w:szCs w:val="28"/>
      <w:shd w:val="clear" w:color="auto" w:fill="8DB3E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35532"/>
    <w:rPr>
      <w:rFonts w:ascii="Calibri" w:eastAsia="Times New Roman" w:hAnsi="Calibri" w:cs="Arial"/>
      <w:b/>
      <w:bCs/>
      <w:sz w:val="24"/>
      <w:szCs w:val="28"/>
      <w:lang w:eastAsia="pl-PL"/>
    </w:rPr>
  </w:style>
  <w:style w:type="table" w:styleId="Tabela-Siatka">
    <w:name w:val="Table Grid"/>
    <w:basedOn w:val="Standardowy"/>
    <w:uiPriority w:val="99"/>
    <w:rsid w:val="0053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355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5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55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A837-958B-48BE-B083-5A609EAE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jzysnarski</cp:lastModifiedBy>
  <cp:revision>13</cp:revision>
  <cp:lastPrinted>2019-03-13T18:10:00Z</cp:lastPrinted>
  <dcterms:created xsi:type="dcterms:W3CDTF">2019-02-26T11:34:00Z</dcterms:created>
  <dcterms:modified xsi:type="dcterms:W3CDTF">2019-03-20T14:40:00Z</dcterms:modified>
</cp:coreProperties>
</file>